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3" w:rsidRPr="001F5753" w:rsidRDefault="001F5753" w:rsidP="001F5753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35173"/>
          <w:sz w:val="20"/>
          <w:szCs w:val="20"/>
          <w:lang w:eastAsia="ru-RU"/>
        </w:rPr>
      </w:pPr>
      <w:r w:rsidRPr="001F5753">
        <w:rPr>
          <w:rFonts w:ascii="Times New Roman" w:eastAsia="Times New Roman" w:hAnsi="Times New Roman" w:cs="Times New Roman"/>
          <w:color w:val="435173"/>
          <w:sz w:val="20"/>
          <w:szCs w:val="20"/>
          <w:lang w:eastAsia="ru-RU"/>
        </w:rPr>
        <w:t>Вариант 1</w:t>
      </w:r>
    </w:p>
    <w:p w:rsidR="001F5753" w:rsidRPr="001F5753" w:rsidRDefault="001F5753" w:rsidP="001F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1.</w:t>
      </w:r>
      <w:r w:rsidR="00B1232D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 На рисунке цифрой 3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 xml:space="preserve"> обозначена зона:</w:t>
      </w:r>
    </w:p>
    <w:p w:rsidR="001F5753" w:rsidRPr="001F5753" w:rsidRDefault="001F5753" w:rsidP="00B1232D">
      <w:pPr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B1232D">
        <w:drawing>
          <wp:inline distT="0" distB="0" distL="0" distR="0" wp14:anchorId="09D55F2D" wp14:editId="59B106CE">
            <wp:extent cx="3867150" cy="1590675"/>
            <wp:effectExtent l="0" t="0" r="0" b="9525"/>
            <wp:docPr id="8" name="Рисунок 8" descr="https://avatars.mds.yandex.net/i?id=c2072eda95124914d560ac9c65c4a4d7ce04695b-10353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2072eda95124914d560ac9c65c4a4d7ce04695b-10353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53" w:rsidRPr="001F5753" w:rsidRDefault="001F5753" w:rsidP="001F575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1) всасывания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2) проведения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3) роста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4) деления</w:t>
      </w:r>
    </w:p>
    <w:p w:rsidR="001F5753" w:rsidRPr="001F5753" w:rsidRDefault="001F5753" w:rsidP="001F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2.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 Выросты, образованные клетками наружного слоя в зоне всасывания:</w:t>
      </w:r>
    </w:p>
    <w:p w:rsidR="001F5753" w:rsidRPr="001F5753" w:rsidRDefault="001F5753" w:rsidP="001F575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1) луб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2) кожица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3) корневой чехлик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4) корневые волоски</w:t>
      </w:r>
    </w:p>
    <w:p w:rsidR="001F5753" w:rsidRPr="001F5753" w:rsidRDefault="001F5753" w:rsidP="001F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3.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 Клетки зоны деления:</w:t>
      </w:r>
    </w:p>
    <w:p w:rsidR="001F5753" w:rsidRPr="001F5753" w:rsidRDefault="001F5753" w:rsidP="001F575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1) живые, мелкие, плотно прилегающие друг к другу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2) мертвые, рыхло расположенные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3) живые с длинными выростами до 1 см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4) мертвые с толстыми клеточными стенками</w:t>
      </w:r>
    </w:p>
    <w:p w:rsidR="001F5753" w:rsidRPr="001F5753" w:rsidRDefault="001F5753" w:rsidP="001F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4.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 Участок корня, за счет которого он растет в длину, — это зона:</w:t>
      </w:r>
    </w:p>
    <w:p w:rsidR="001F5753" w:rsidRPr="001F5753" w:rsidRDefault="001F5753" w:rsidP="001F575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1) деления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2) проведения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3) роста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4) роста и деления</w:t>
      </w:r>
    </w:p>
    <w:p w:rsidR="001F5753" w:rsidRPr="001F5753" w:rsidRDefault="001F5753" w:rsidP="001F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5.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 Зона всасывания:</w:t>
      </w:r>
    </w:p>
    <w:p w:rsidR="001F5753" w:rsidRPr="001F5753" w:rsidRDefault="001F5753" w:rsidP="001F575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1) постоянно увеличивается в длину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2) перемещается за кончиком корня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3) уменьшается по мере роста корня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4) не перемещается за кончиком корня</w:t>
      </w:r>
    </w:p>
    <w:p w:rsidR="001F5753" w:rsidRPr="001F5753" w:rsidRDefault="001F5753" w:rsidP="001F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6.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 Корневые волоски обеспечивают корню:</w:t>
      </w:r>
    </w:p>
    <w:p w:rsidR="001F5753" w:rsidRPr="001F5753" w:rsidRDefault="001F5753" w:rsidP="001F575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</w:pP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1) устойчивость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2) всасывание органических веществ</w:t>
      </w:r>
      <w:r w:rsidRPr="001F5753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3) всасывание во</w:t>
      </w:r>
      <w:r w:rsidR="00B1232D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t>ды и минеральных веществ</w:t>
      </w:r>
      <w:r w:rsidR="00B1232D">
        <w:rPr>
          <w:rFonts w:ascii="Times New Roman" w:eastAsia="Times New Roman" w:hAnsi="Times New Roman" w:cs="Times New Roman"/>
          <w:color w:val="283044"/>
          <w:sz w:val="26"/>
          <w:szCs w:val="26"/>
          <w:lang w:eastAsia="ru-RU"/>
        </w:rPr>
        <w:br/>
        <w:t>4) рост</w:t>
      </w:r>
      <w:bookmarkStart w:id="0" w:name="_GoBack"/>
      <w:bookmarkEnd w:id="0"/>
    </w:p>
    <w:p w:rsidR="001F5753" w:rsidRPr="001F5753" w:rsidRDefault="001F5753" w:rsidP="001F5753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35173"/>
          <w:sz w:val="20"/>
          <w:szCs w:val="20"/>
          <w:lang w:eastAsia="ru-RU"/>
        </w:rPr>
      </w:pPr>
      <w:r w:rsidRPr="001F5753">
        <w:rPr>
          <w:rFonts w:ascii="Times New Roman" w:eastAsia="Times New Roman" w:hAnsi="Times New Roman" w:cs="Times New Roman"/>
          <w:color w:val="435173"/>
          <w:sz w:val="20"/>
          <w:szCs w:val="20"/>
          <w:lang w:eastAsia="ru-RU"/>
        </w:rPr>
        <w:lastRenderedPageBreak/>
        <w:t>Вариант 2</w:t>
      </w:r>
    </w:p>
    <w:p w:rsidR="001F5753" w:rsidRPr="001F5753" w:rsidRDefault="001F5753" w:rsidP="00B1232D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  <w:lang w:eastAsia="ru-RU"/>
        </w:rPr>
        <w:t>1.</w:t>
      </w:r>
      <w:r w:rsidR="00B1232D">
        <w:rPr>
          <w:rFonts w:ascii="inherit" w:eastAsia="Times New Roman" w:hAnsi="inherit" w:cs="Segoe UI"/>
          <w:color w:val="283044"/>
          <w:lang w:eastAsia="ru-RU"/>
        </w:rPr>
        <w:t xml:space="preserve"> На рисунке цифрой 2 </w:t>
      </w:r>
      <w:r w:rsidRPr="001F5753">
        <w:rPr>
          <w:rFonts w:ascii="inherit" w:eastAsia="Times New Roman" w:hAnsi="inherit" w:cs="Segoe UI"/>
          <w:color w:val="283044"/>
          <w:lang w:eastAsia="ru-RU"/>
        </w:rPr>
        <w:t xml:space="preserve"> обозначена зона:</w:t>
      </w:r>
      <w:r>
        <w:rPr>
          <w:noProof/>
          <w:lang w:eastAsia="ru-RU"/>
        </w:rPr>
        <w:drawing>
          <wp:inline distT="0" distB="0" distL="0" distR="0" wp14:anchorId="23D2542E" wp14:editId="56F43C54">
            <wp:extent cx="3295650" cy="1771650"/>
            <wp:effectExtent l="0" t="0" r="0" b="0"/>
            <wp:docPr id="7" name="Рисунок 7" descr="https://avatars.mds.yandex.net/i?id=c2072eda95124914d560ac9c65c4a4d7ce04695b-10353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2072eda95124914d560ac9c65c4a4d7ce04695b-10353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color w:val="283044"/>
          <w:lang w:eastAsia="ru-RU"/>
        </w:rPr>
        <w:t>1) всасывания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2) проведения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3) роста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4) деления</w:t>
      </w:r>
    </w:p>
    <w:p w:rsidR="001F5753" w:rsidRPr="001F5753" w:rsidRDefault="001F5753" w:rsidP="001F5753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  <w:lang w:eastAsia="ru-RU"/>
        </w:rPr>
        <w:t>2.</w:t>
      </w:r>
      <w:r w:rsidRPr="001F5753">
        <w:rPr>
          <w:rFonts w:ascii="inherit" w:eastAsia="Times New Roman" w:hAnsi="inherit" w:cs="Segoe UI"/>
          <w:color w:val="283044"/>
          <w:lang w:eastAsia="ru-RU"/>
        </w:rPr>
        <w:t> Начало всем клеткам корня дают клетки, находящиеся в зоне:</w:t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color w:val="283044"/>
          <w:lang w:eastAsia="ru-RU"/>
        </w:rPr>
        <w:t>1) проведения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2) всасывания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3) деления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4) роста</w:t>
      </w:r>
    </w:p>
    <w:p w:rsidR="001F5753" w:rsidRPr="001F5753" w:rsidRDefault="001F5753" w:rsidP="001F5753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  <w:lang w:eastAsia="ru-RU"/>
        </w:rPr>
        <w:t>3.</w:t>
      </w:r>
      <w:r w:rsidRPr="001F5753">
        <w:rPr>
          <w:rFonts w:ascii="inherit" w:eastAsia="Times New Roman" w:hAnsi="inherit" w:cs="Segoe UI"/>
          <w:color w:val="283044"/>
          <w:lang w:eastAsia="ru-RU"/>
        </w:rPr>
        <w:t> Корневой чехлик выполняет функцию:</w:t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color w:val="283044"/>
          <w:lang w:eastAsia="ru-RU"/>
        </w:rPr>
        <w:t>1) защиты верхушки корня при продвижении его в почве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2) поглощения воды из почвы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3) питания и деления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4) более крепкого закрепления растения в почве</w:t>
      </w:r>
    </w:p>
    <w:p w:rsidR="001F5753" w:rsidRPr="001F5753" w:rsidRDefault="001F5753" w:rsidP="001F5753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  <w:lang w:eastAsia="ru-RU"/>
        </w:rPr>
        <w:t>4.</w:t>
      </w:r>
      <w:r w:rsidRPr="001F5753">
        <w:rPr>
          <w:rFonts w:ascii="inherit" w:eastAsia="Times New Roman" w:hAnsi="inherit" w:cs="Segoe UI"/>
          <w:color w:val="283044"/>
          <w:lang w:eastAsia="ru-RU"/>
        </w:rPr>
        <w:t> Корневые волоски содержатся в зоне:</w:t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color w:val="283044"/>
          <w:lang w:eastAsia="ru-RU"/>
        </w:rPr>
        <w:t>1) деления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2) роста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3) проведения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4) всасывания</w:t>
      </w:r>
    </w:p>
    <w:p w:rsidR="001F5753" w:rsidRPr="001F5753" w:rsidRDefault="001F5753" w:rsidP="001F5753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  <w:lang w:eastAsia="ru-RU"/>
        </w:rPr>
        <w:t>5.</w:t>
      </w:r>
      <w:r w:rsidRPr="001F5753">
        <w:rPr>
          <w:rFonts w:ascii="inherit" w:eastAsia="Times New Roman" w:hAnsi="inherit" w:cs="Segoe UI"/>
          <w:color w:val="283044"/>
          <w:lang w:eastAsia="ru-RU"/>
        </w:rPr>
        <w:t xml:space="preserve"> Вода и минеральные соли всасываются в растение из почвы </w:t>
      </w:r>
      <w:proofErr w:type="gramStart"/>
      <w:r w:rsidRPr="001F5753">
        <w:rPr>
          <w:rFonts w:ascii="inherit" w:eastAsia="Times New Roman" w:hAnsi="inherit" w:cs="Segoe UI"/>
          <w:color w:val="283044"/>
          <w:lang w:eastAsia="ru-RU"/>
        </w:rPr>
        <w:t>через</w:t>
      </w:r>
      <w:proofErr w:type="gramEnd"/>
      <w:r w:rsidRPr="001F5753">
        <w:rPr>
          <w:rFonts w:ascii="inherit" w:eastAsia="Times New Roman" w:hAnsi="inherit" w:cs="Segoe UI"/>
          <w:color w:val="283044"/>
          <w:lang w:eastAsia="ru-RU"/>
        </w:rPr>
        <w:t>:</w:t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color w:val="283044"/>
          <w:lang w:eastAsia="ru-RU"/>
        </w:rPr>
        <w:t>1) зону деления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2) корневой чехлик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3) зону проведения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4) зону корневых волосков</w:t>
      </w:r>
    </w:p>
    <w:p w:rsidR="001F5753" w:rsidRPr="001F5753" w:rsidRDefault="001F5753" w:rsidP="001F5753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b/>
          <w:bCs/>
          <w:color w:val="283044"/>
          <w:bdr w:val="none" w:sz="0" w:space="0" w:color="auto" w:frame="1"/>
          <w:lang w:eastAsia="ru-RU"/>
        </w:rPr>
        <w:t>6.</w:t>
      </w:r>
      <w:r w:rsidRPr="001F5753">
        <w:rPr>
          <w:rFonts w:ascii="inherit" w:eastAsia="Times New Roman" w:hAnsi="inherit" w:cs="Segoe UI"/>
          <w:color w:val="283044"/>
          <w:lang w:eastAsia="ru-RU"/>
        </w:rPr>
        <w:t> Если отщипнуть верхушку корня, то:</w:t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  <w:r w:rsidRPr="001F5753">
        <w:rPr>
          <w:rFonts w:ascii="inherit" w:eastAsia="Times New Roman" w:hAnsi="inherit" w:cs="Segoe UI"/>
          <w:color w:val="283044"/>
          <w:lang w:eastAsia="ru-RU"/>
        </w:rPr>
        <w:t>1) перестанут образовываться придаточные корни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2) прекратится рост корня в длину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3) замедлится рост корня в длину</w:t>
      </w:r>
      <w:r w:rsidRPr="001F5753">
        <w:rPr>
          <w:rFonts w:ascii="inherit" w:eastAsia="Times New Roman" w:hAnsi="inherit" w:cs="Segoe UI"/>
          <w:color w:val="283044"/>
          <w:lang w:eastAsia="ru-RU"/>
        </w:rPr>
        <w:br/>
        <w:t>4) замедлится ветвление корней</w:t>
      </w: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lang w:eastAsia="ru-RU"/>
        </w:rPr>
      </w:pPr>
    </w:p>
    <w:p w:rsid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</w:p>
    <w:p w:rsid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</w:p>
    <w:p w:rsid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</w:p>
    <w:p w:rsidR="001F5753" w:rsidRPr="001F5753" w:rsidRDefault="001F5753" w:rsidP="001F5753">
      <w:pPr>
        <w:shd w:val="clear" w:color="auto" w:fill="FFFFFF"/>
        <w:spacing w:after="390" w:line="315" w:lineRule="atLeast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</w:p>
    <w:p w:rsidR="001F5753" w:rsidRPr="001F5753" w:rsidRDefault="001F5753" w:rsidP="001F57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575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F5753" w:rsidRPr="001F5753" w:rsidRDefault="001F5753" w:rsidP="001F57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F575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1F5753" w:rsidRPr="001F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AC"/>
    <w:multiLevelType w:val="multilevel"/>
    <w:tmpl w:val="96E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E6069"/>
    <w:multiLevelType w:val="multilevel"/>
    <w:tmpl w:val="E0E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3"/>
    <w:rsid w:val="001F5753"/>
    <w:rsid w:val="004E10B2"/>
    <w:rsid w:val="00B1232D"/>
    <w:rsid w:val="00C6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56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5E8EC"/>
                        <w:right w:val="none" w:sz="0" w:space="0" w:color="auto"/>
                      </w:divBdr>
                      <w:divsChild>
                        <w:div w:id="426852166">
                          <w:marLeft w:val="0"/>
                          <w:marRight w:val="0"/>
                          <w:marTop w:val="825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1" w:color="E5E8EC"/>
                            <w:right w:val="none" w:sz="0" w:space="0" w:color="auto"/>
                          </w:divBdr>
                          <w:divsChild>
                            <w:div w:id="540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7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9486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75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37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83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52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13810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3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19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7582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75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31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7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46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97949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70724">
                          <w:marLeft w:val="0"/>
                          <w:marRight w:val="0"/>
                          <w:marTop w:val="825"/>
                          <w:marBottom w:val="150"/>
                          <w:divBdr>
                            <w:top w:val="dotted" w:sz="6" w:space="23" w:color="E5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565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5B897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4953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F5B897"/>
                          </w:divBdr>
                        </w:div>
                      </w:divsChild>
                    </w:div>
                    <w:div w:id="16591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0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69DA-CD24-42BA-8F85-CC14954F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2023-12-09T15:19:00Z</dcterms:created>
  <dcterms:modified xsi:type="dcterms:W3CDTF">2023-12-09T15:34:00Z</dcterms:modified>
</cp:coreProperties>
</file>